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4268" w:rsidTr="003042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4268" w:rsidRDefault="00304268" w:rsidP="0030426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4268" w:rsidRDefault="00304268" w:rsidP="00304268">
            <w:pPr>
              <w:suppressLineNumbers/>
              <w:snapToGrid w:val="0"/>
              <w:spacing w:before="60" w:after="60"/>
              <w:jc w:val="center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Seminarium dyplomowe</w:t>
            </w:r>
          </w:p>
        </w:tc>
      </w:tr>
      <w:tr w:rsidR="00304268" w:rsidTr="003042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4268" w:rsidRDefault="00304268" w:rsidP="0030426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4268" w:rsidRDefault="00304268" w:rsidP="00304268">
            <w:pPr>
              <w:suppressLineNumbers/>
              <w:snapToGrid w:val="0"/>
              <w:spacing w:before="60" w:after="60"/>
              <w:jc w:val="center"/>
            </w:pP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Diploma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seminar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8D57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30426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Stacjonarne:</w:t>
            </w:r>
            <w:r w:rsidR="00304268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  <w:p w:rsidR="00053F17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Niestacjonarne:</w:t>
            </w:r>
            <w:r w:rsidR="0030426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30426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color w:val="000000"/>
                <w:szCs w:val="16"/>
              </w:rPr>
              <w:t xml:space="preserve"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</w:t>
            </w:r>
            <w:r w:rsidR="002A2E66">
              <w:rPr>
                <w:rFonts w:ascii="ArialMT" w:hAnsi="ArialMT" w:cs="ArialMT"/>
                <w:color w:val="000000"/>
                <w:szCs w:val="16"/>
              </w:rPr>
              <w:t>Zajęcia</w:t>
            </w:r>
            <w:r>
              <w:rPr>
                <w:rFonts w:ascii="ArialMT" w:hAnsi="ArialMT" w:cs="ArialMT"/>
                <w:color w:val="000000"/>
                <w:szCs w:val="16"/>
              </w:rPr>
              <w:t xml:space="preserve"> prowadzone </w:t>
            </w:r>
            <w:proofErr w:type="spellStart"/>
            <w:r>
              <w:rPr>
                <w:rFonts w:ascii="ArialMT" w:hAnsi="ArialMT" w:cs="ArialMT"/>
                <w:color w:val="000000"/>
                <w:szCs w:val="16"/>
              </w:rPr>
              <w:t>sa</w:t>
            </w:r>
            <w:proofErr w:type="spellEnd"/>
            <w:r>
              <w:rPr>
                <w:rFonts w:ascii="ArialMT" w:hAnsi="ArialMT" w:cs="ArialMT"/>
                <w:color w:val="000000"/>
                <w:szCs w:val="16"/>
              </w:rPr>
              <w:t xml:space="preserve">̨ w </w:t>
            </w:r>
            <w:r w:rsidR="002A2E66">
              <w:rPr>
                <w:rFonts w:ascii="ArialMT" w:hAnsi="ArialMT" w:cs="ArialMT"/>
                <w:color w:val="000000"/>
                <w:szCs w:val="16"/>
              </w:rPr>
              <w:t>jeżyku</w:t>
            </w:r>
            <w:r>
              <w:rPr>
                <w:rFonts w:ascii="ArialMT" w:hAnsi="ArialMT" w:cs="ArialMT"/>
                <w:color w:val="000000"/>
                <w:szCs w:val="16"/>
              </w:rPr>
              <w:t xml:space="preserve">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4268" w:rsidTr="0046369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4268" w:rsidRDefault="00304268" w:rsidP="0030426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304268" w:rsidRDefault="00304268" w:rsidP="00304268">
            <w:pPr>
              <w:suppressLineNumbers/>
              <w:snapToGrid w:val="0"/>
              <w:spacing w:before="57" w:after="57"/>
            </w:pPr>
          </w:p>
        </w:tc>
      </w:tr>
      <w:tr w:rsidR="00304268" w:rsidTr="0046369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4268" w:rsidRDefault="00304268" w:rsidP="0030426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304268" w:rsidRDefault="00304268" w:rsidP="00304268">
            <w:pPr>
              <w:suppressLineNumbers/>
              <w:snapToGrid w:val="0"/>
              <w:spacing w:before="57" w:after="57"/>
            </w:pPr>
          </w:p>
        </w:tc>
      </w:tr>
      <w:tr w:rsidR="00304268">
        <w:tc>
          <w:tcPr>
            <w:tcW w:w="1941" w:type="dxa"/>
            <w:shd w:val="clear" w:color="auto" w:fill="DBE5F1"/>
            <w:vAlign w:val="center"/>
          </w:tcPr>
          <w:p w:rsidR="00304268" w:rsidRDefault="00304268" w:rsidP="0030426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4268" w:rsidRDefault="00304268" w:rsidP="0030426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304268" w:rsidRDefault="00304268" w:rsidP="0030426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4268">
        <w:trPr>
          <w:cantSplit/>
          <w:trHeight w:val="1838"/>
        </w:trPr>
        <w:tc>
          <w:tcPr>
            <w:tcW w:w="1979" w:type="dxa"/>
            <w:vMerge/>
          </w:tcPr>
          <w:p w:rsidR="00304268" w:rsidRDefault="00304268" w:rsidP="00304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04268" w:rsidRDefault="00304268" w:rsidP="00304268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W01, Zna zasady tworzenia pracy dyplomowej, obejmujące, budowę/układ pracy, zasady składu tekstu</w:t>
            </w:r>
          </w:p>
          <w:p w:rsidR="00304268" w:rsidRDefault="00304268" w:rsidP="00304268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304268" w:rsidRDefault="00304268" w:rsidP="00304268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W03, Posiada wiedzę z dziedzin niezbędnych do ukończenia studiów oraz na temat możliwości wspomagania procesu tworzenia pracy dyplomowej z wykorzystaniem technik komputerowych</w:t>
            </w:r>
          </w:p>
        </w:tc>
        <w:tc>
          <w:tcPr>
            <w:tcW w:w="2365" w:type="dxa"/>
          </w:tcPr>
          <w:p w:rsidR="00304268" w:rsidRDefault="00304268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1E7545" w:rsidRDefault="001E7545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1E7545" w:rsidRPr="001E7545" w:rsidRDefault="001E7545" w:rsidP="00304268">
            <w:pPr>
              <w:snapToGrid w:val="0"/>
            </w:pPr>
          </w:p>
          <w:p w:rsidR="00304268" w:rsidRDefault="00304268" w:rsidP="002A2E66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K_W18</w:t>
            </w:r>
            <w:r w:rsidR="001E7545">
              <w:t xml:space="preserve">, </w:t>
            </w:r>
            <w:r>
              <w:rPr>
                <w:rFonts w:ascii="ArialMT" w:hAnsi="ArialMT" w:cs="ArialMT"/>
                <w:color w:val="000000"/>
                <w:sz w:val="20"/>
                <w:szCs w:val="20"/>
              </w:rPr>
              <w:t>K_W11, K_W14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4268">
        <w:trPr>
          <w:cantSplit/>
          <w:trHeight w:val="2116"/>
        </w:trPr>
        <w:tc>
          <w:tcPr>
            <w:tcW w:w="1985" w:type="dxa"/>
            <w:vMerge/>
          </w:tcPr>
          <w:p w:rsidR="00304268" w:rsidRDefault="00304268" w:rsidP="00304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4268" w:rsidRDefault="00304268" w:rsidP="00304268"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przygotowac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zarówno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języku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 polskim jak i obcym, przygotować prezentację multimedialną oraz zna zasady ochrony własności intelektualnej</w:t>
            </w:r>
          </w:p>
          <w:p w:rsidR="00304268" w:rsidRDefault="00304268" w:rsidP="00304268"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MT" w:hAnsi="ArialMT" w:cs="ArialMT"/>
                <w:color w:val="000000"/>
                <w:sz w:val="20"/>
                <w:szCs w:val="20"/>
              </w:rPr>
              <w:t>zadan</w:t>
            </w:r>
            <w:proofErr w:type="spellEnd"/>
            <w:r>
              <w:rPr>
                <w:rFonts w:ascii="ArialMT" w:hAnsi="ArialMT" w:cs="ArialMT"/>
                <w:color w:val="000000"/>
                <w:sz w:val="20"/>
                <w:szCs w:val="20"/>
              </w:rPr>
              <w:t>́ technicznych</w:t>
            </w:r>
          </w:p>
          <w:p w:rsidR="00304268" w:rsidRDefault="00304268" w:rsidP="00304268"/>
        </w:tc>
        <w:tc>
          <w:tcPr>
            <w:tcW w:w="2410" w:type="dxa"/>
          </w:tcPr>
          <w:p w:rsidR="001E7545" w:rsidRDefault="001E7545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1E7545" w:rsidRDefault="001E7545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304268" w:rsidRDefault="00304268" w:rsidP="00304268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K_U</w:t>
            </w:r>
            <w:r w:rsidR="00663A88">
              <w:rPr>
                <w:rFonts w:ascii="ArialMT" w:hAnsi="ArialMT" w:cs="ArialMT"/>
                <w:color w:val="000000"/>
                <w:sz w:val="20"/>
                <w:szCs w:val="20"/>
              </w:rPr>
              <w:t>19, K_U20,K_U22</w:t>
            </w:r>
            <w:r w:rsidR="001E7545">
              <w:t xml:space="preserve">, </w:t>
            </w:r>
          </w:p>
          <w:p w:rsidR="00304268" w:rsidRDefault="00304268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304268" w:rsidRDefault="00304268" w:rsidP="00304268">
            <w:pPr>
              <w:snapToGrid w:val="0"/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4268">
        <w:trPr>
          <w:cantSplit/>
          <w:trHeight w:val="1984"/>
        </w:trPr>
        <w:tc>
          <w:tcPr>
            <w:tcW w:w="1985" w:type="dxa"/>
            <w:vMerge/>
          </w:tcPr>
          <w:p w:rsidR="00304268" w:rsidRDefault="00304268" w:rsidP="003042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04268" w:rsidRDefault="00304268" w:rsidP="00304268">
            <w:r>
              <w:rPr>
                <w:rFonts w:ascii="ArialMT" w:hAnsi="ArialMT" w:cs="ArialMT"/>
                <w:color w:val="000000"/>
                <w:sz w:val="20"/>
                <w:szCs w:val="20"/>
              </w:rPr>
              <w:t>K01, Postępuje etycznie w życiu zawodowym,</w:t>
            </w:r>
          </w:p>
          <w:p w:rsidR="00304268" w:rsidRDefault="00304268" w:rsidP="00304268">
            <w:r>
              <w:rPr>
                <w:rFonts w:ascii="ArialMT" w:hAnsi="ArialMT" w:cs="ArialMT"/>
                <w:color w:val="000000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</w:tcPr>
          <w:p w:rsidR="001E7545" w:rsidRDefault="001E7545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1E7545" w:rsidRDefault="001E7545" w:rsidP="00304268">
            <w:pPr>
              <w:snapToGrid w:val="0"/>
              <w:rPr>
                <w:rFonts w:ascii="ArialMT" w:hAnsi="ArialMT" w:cs="ArialMT"/>
                <w:color w:val="000000"/>
                <w:sz w:val="20"/>
                <w:szCs w:val="20"/>
              </w:rPr>
            </w:pPr>
          </w:p>
          <w:p w:rsidR="00304268" w:rsidRDefault="001E7545" w:rsidP="00304268">
            <w:pPr>
              <w:snapToGrid w:val="0"/>
            </w:pPr>
            <w:r>
              <w:rPr>
                <w:rFonts w:ascii="ArialMT" w:hAnsi="ArialMT" w:cs="ArialMT"/>
                <w:color w:val="000000"/>
                <w:sz w:val="20"/>
                <w:szCs w:val="20"/>
              </w:rPr>
              <w:t>K_K05</w:t>
            </w:r>
            <w:r w:rsidR="00304268">
              <w:rPr>
                <w:rFonts w:ascii="ArialMT" w:hAnsi="ArialMT" w:cs="ArialMT"/>
                <w:color w:val="000000"/>
                <w:sz w:val="20"/>
                <w:szCs w:val="20"/>
              </w:rPr>
              <w:t xml:space="preserve"> K_K04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Pr="00053F17" w:rsidRDefault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426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p w:rsidR="00053F17" w:rsidRPr="00053F17" w:rsidRDefault="00053F17" w:rsidP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niestacjonarne: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3F17" w:rsidTr="00B92A9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3F17" w:rsidTr="00B92A9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3F17" w:rsidTr="00B92A9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304268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62"/>
        </w:trPr>
        <w:tc>
          <w:tcPr>
            <w:tcW w:w="1611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3F17" w:rsidRDefault="00053F1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303F50" w:rsidRDefault="0030426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color w:val="000000"/>
                <w:szCs w:val="16"/>
              </w:rPr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42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  <w:tr w:rsidR="0030426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4268" w:rsidRDefault="00304268" w:rsidP="003042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4268" w:rsidRDefault="00304268" w:rsidP="00304268">
            <w:pPr>
              <w:snapToGrid w:val="0"/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04268" w:rsidRDefault="00304268" w:rsidP="00304268">
            <w:pPr>
              <w:snapToGrid w:val="0"/>
              <w:jc w:val="center"/>
            </w:pPr>
            <w:r>
              <w:rPr>
                <w:rFonts w:ascii="Arial" w:hAnsi="Arial" w:cs="Arial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303F50" w:rsidRDefault="0030426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color w:val="000000"/>
                <w:szCs w:val="16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2928E3" w:rsidRDefault="002928E3" w:rsidP="002928E3">
            <w:pPr>
              <w:pStyle w:val="Tekstpodstawowy"/>
              <w:suppressLineNumbers/>
              <w:snapToGrid w:val="0"/>
              <w:spacing w:before="57" w:after="57"/>
              <w:rPr>
                <w:rFonts w:ascii="ArialMT" w:hAnsi="ArialMT" w:cs="ArialMT"/>
                <w:szCs w:val="16"/>
                <w:highlight w:val="white"/>
              </w:rPr>
            </w:pPr>
            <w:r>
              <w:rPr>
                <w:rFonts w:ascii="ArialMT" w:hAnsi="ArialMT" w:cs="ArialMT"/>
                <w:szCs w:val="16"/>
                <w:highlight w:val="white"/>
              </w:rPr>
              <w:t>Godziny seminaryjne dzielone na poszczególnych promotorów prac, wybranych przez studentów (adekwatnie do liczby dyplomantów)</w:t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304268" w:rsidRDefault="00304268" w:rsidP="00304268">
            <w:r>
              <w:rPr>
                <w:rFonts w:ascii="Arial" w:hAnsi="Arial" w:cs="Arial"/>
              </w:rPr>
              <w:t>Treści merytoryczne (wykaz tematów)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Omówienie/przypomnienie formy redakcyjnej pracy.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Omówienie treści merytorycznych pracy oraz jej celu oraz zastosowanych metod badawczych.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 xml:space="preserve">Doskonalenie posługiwania się jasnym i precyzyjnym językiem naukowym. 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Doskonalenie umiejętności tworzenia spójnych i logicznych wypowiedzi przy użyciu prawidłowej i profesjonalnej terminologii.</w:t>
            </w:r>
          </w:p>
          <w:p w:rsidR="00304268" w:rsidRDefault="00304268" w:rsidP="0030426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Przegląd literatury w kontekście: poszukiwanie- selekcjonowanie-krytyczne poznawanie.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Zaawansowane przeszukiwania literaturowych baz danych, studiowanie i cytowanie artykułów naukowych z zachowaniem kwestii ochrony własności intelektualnej.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Doskonalenie umiejętności prezentacji wyników.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Narzędzia informatyczne wspomagające tworzenie opracowań naukowych wraz z systemami katalogowania źródeł i automatycznego ich cytowania itp.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 xml:space="preserve">Przedstawienie materiału oraz metodyki badawczej stosowanej w pracy dyplomowej/inżynierskiej. 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304268" w:rsidRDefault="00304268" w:rsidP="00304268">
            <w:r>
              <w:rPr>
                <w:rFonts w:ascii="Arial" w:hAnsi="Arial" w:cs="Arial"/>
                <w:szCs w:val="16"/>
              </w:rPr>
              <w:t>Omówienie kwestii formalnych związanych z przebiegiem egzaminu i obroną pracy dyplomowej/inżynierskiej.</w:t>
            </w:r>
          </w:p>
          <w:p w:rsidR="00303F50" w:rsidRDefault="00303F50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304268" w:rsidRDefault="00304268" w:rsidP="00304268">
            <w:pPr>
              <w:snapToGrid w:val="0"/>
              <w:spacing w:after="140"/>
            </w:pPr>
            <w:r>
              <w:t xml:space="preserve">G. </w:t>
            </w:r>
            <w:proofErr w:type="spellStart"/>
            <w:r>
              <w:t>Gambarelli</w:t>
            </w:r>
            <w:proofErr w:type="spellEnd"/>
            <w:r>
              <w:t>, Z. Łucki, Praca dyplomowa: zdobycie promotora, pisanie na komputerze, opracowanie redakcyjne, prezentowanie, publikowanie, Wydawnictwa AGH, Kraków (2011)</w:t>
            </w:r>
          </w:p>
          <w:p w:rsidR="00304268" w:rsidRDefault="00304268" w:rsidP="00304268">
            <w:pPr>
              <w:snapToGrid w:val="0"/>
              <w:spacing w:after="140"/>
            </w:pPr>
            <w:r>
              <w:t xml:space="preserve">B. </w:t>
            </w:r>
            <w:proofErr w:type="spellStart"/>
            <w:r>
              <w:t>Zbroińska</w:t>
            </w:r>
            <w:proofErr w:type="spellEnd"/>
            <w:r>
              <w:t xml:space="preserve">,  Piszę pracę licencjacką i magisterską: praktyczne wskazówki dla studenta, Wydawnictwo Akademii Świętokrzyskiej, Kielce (2002) </w:t>
            </w:r>
          </w:p>
          <w:p w:rsidR="00304268" w:rsidRDefault="00304268" w:rsidP="00304268">
            <w:pPr>
              <w:snapToGrid w:val="0"/>
              <w:spacing w:after="140"/>
            </w:pPr>
            <w:r>
              <w:t xml:space="preserve">R. </w:t>
            </w:r>
            <w:proofErr w:type="spellStart"/>
            <w:r>
              <w:t>Zenderowski</w:t>
            </w:r>
            <w:proofErr w:type="spellEnd"/>
            <w:r>
              <w:t xml:space="preserve">, Praca magisterska - licencjat: krótki przewodnik po metodologii pisania i obrony pracy dyplomowej, Wydawnictwo </w:t>
            </w:r>
            <w:proofErr w:type="spellStart"/>
            <w:r>
              <w:t>CeDeWu</w:t>
            </w:r>
            <w:proofErr w:type="spellEnd"/>
            <w:r>
              <w:t>, Warszawa (2015)</w:t>
            </w:r>
          </w:p>
          <w:p w:rsidR="00304268" w:rsidRDefault="00304268" w:rsidP="00304268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304268" w:rsidRDefault="00304268" w:rsidP="00304268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303F50" w:rsidRDefault="00304268" w:rsidP="00304268">
            <w:pPr>
              <w:rPr>
                <w:rFonts w:ascii="Arial" w:hAnsi="Arial" w:cs="Arial"/>
                <w:sz w:val="22"/>
                <w:szCs w:val="16"/>
              </w:rPr>
            </w:pPr>
            <w:r>
              <w:t>Literatura z dziedziny, w której praca dyplomowa/inżynierska jest prowadzona m.in. podręczniki akademickie, wydawnictwa encyklopedyczne i informacyjne, normy, specjalistyczne artykuły naukowe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304268" w:rsidRDefault="00304268" w:rsidP="00304268">
            <w:pPr>
              <w:pStyle w:val="Tekstpodstawowy"/>
              <w:snapToGrid w:val="0"/>
              <w:spacing w:after="0"/>
            </w:pPr>
            <w:r>
              <w:rPr>
                <w:rFonts w:ascii="ArialMT" w:hAnsi="ArialMT" w:cs="ArialMT"/>
                <w:szCs w:val="16"/>
                <w:highlight w:val="white"/>
              </w:rPr>
              <w:t xml:space="preserve">W. Młyniec, S. </w:t>
            </w:r>
            <w:proofErr w:type="spellStart"/>
            <w:r>
              <w:rPr>
                <w:rFonts w:ascii="ArialMT" w:hAnsi="ArialMT" w:cs="ArialMT"/>
                <w:szCs w:val="16"/>
                <w:highlight w:val="white"/>
              </w:rPr>
              <w:t>Ufnalska</w:t>
            </w:r>
            <w:proofErr w:type="spellEnd"/>
            <w:r>
              <w:rPr>
                <w:rFonts w:ascii="ArialMT" w:hAnsi="ArialMT" w:cs="ArialMT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Cs w:val="16"/>
                <w:highlight w:val="white"/>
              </w:rPr>
              <w:t>Scientific</w:t>
            </w:r>
            <w:proofErr w:type="spellEnd"/>
            <w:r>
              <w:rPr>
                <w:rFonts w:ascii="ArialMT" w:hAnsi="ArialMT" w:cs="ArialMT"/>
                <w:szCs w:val="16"/>
                <w:highlight w:val="white"/>
              </w:rPr>
              <w:t xml:space="preserve"> </w:t>
            </w:r>
            <w:proofErr w:type="spellStart"/>
            <w:r>
              <w:rPr>
                <w:rFonts w:ascii="ArialMT" w:hAnsi="ArialMT" w:cs="ArialMT"/>
                <w:szCs w:val="16"/>
                <w:highlight w:val="white"/>
              </w:rPr>
              <w:t>communication</w:t>
            </w:r>
            <w:proofErr w:type="spellEnd"/>
            <w:r>
              <w:rPr>
                <w:rFonts w:ascii="ArialMT" w:hAnsi="ArialMT" w:cs="ArialMT"/>
                <w:szCs w:val="16"/>
                <w:highlight w:val="white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MT" w:hAnsi="ArialMT" w:cs="ArialMT"/>
                <w:szCs w:val="16"/>
                <w:highlight w:val="white"/>
              </w:rPr>
              <w:t>Sorus</w:t>
            </w:r>
            <w:proofErr w:type="spellEnd"/>
            <w:r>
              <w:rPr>
                <w:rFonts w:ascii="ArialMT" w:hAnsi="ArialMT" w:cs="ArialMT"/>
                <w:szCs w:val="16"/>
                <w:highlight w:val="white"/>
              </w:rPr>
              <w:t>, Poznań (2004)</w:t>
            </w:r>
          </w:p>
          <w:p w:rsidR="00304268" w:rsidRDefault="00304268" w:rsidP="00304268">
            <w:pPr>
              <w:pStyle w:val="Tekstpodstawowy"/>
              <w:snapToGrid w:val="0"/>
              <w:spacing w:after="0"/>
            </w:pPr>
            <w:r>
              <w:rPr>
                <w:rFonts w:ascii="ArialMT" w:hAnsi="ArialMT" w:cs="ArialMT"/>
                <w:szCs w:val="16"/>
                <w:highlight w:val="white"/>
              </w:rPr>
              <w:t>Redakcja R. Madejski, Wystąpienia Publiczne: Zostań mistrzem retoryki, Wydawnictwo Studio Emka, Warszawa (2006)</w:t>
            </w:r>
          </w:p>
          <w:p w:rsidR="00304268" w:rsidRDefault="00304268" w:rsidP="00304268">
            <w:pPr>
              <w:pStyle w:val="Tekstpodstawowy"/>
              <w:snapToGrid w:val="0"/>
              <w:spacing w:after="0"/>
            </w:pPr>
            <w:r>
              <w:rPr>
                <w:rFonts w:ascii="ArialMT" w:hAnsi="ArialMT" w:cs="ArialMT"/>
                <w:szCs w:val="16"/>
                <w:highlight w:val="white"/>
              </w:rPr>
              <w:t xml:space="preserve">P. </w:t>
            </w:r>
            <w:proofErr w:type="spellStart"/>
            <w:r>
              <w:rPr>
                <w:rFonts w:ascii="ArialMT" w:hAnsi="ArialMT" w:cs="ArialMT"/>
                <w:szCs w:val="16"/>
                <w:highlight w:val="white"/>
              </w:rPr>
              <w:t>Lenar</w:t>
            </w:r>
            <w:proofErr w:type="spellEnd"/>
            <w:r>
              <w:rPr>
                <w:rFonts w:ascii="ArialMT" w:hAnsi="ArialMT" w:cs="ArialMT"/>
                <w:szCs w:val="16"/>
                <w:highlight w:val="white"/>
              </w:rPr>
              <w:t>, Profesjonalna prezentacja multimedialna. Jak uniknąć 27 najczęściej popełnianych błędów, Wydawnictwo Helion, Gliwice (2010)</w:t>
            </w:r>
          </w:p>
          <w:p w:rsidR="00303F50" w:rsidRDefault="00304268" w:rsidP="00304268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Cs w:val="16"/>
                <w:highlight w:val="white"/>
              </w:rPr>
              <w:t>R. Williams, Prezentacja, która robi wrażenie. Projekty z klasą, Wydawnictwo Helion Gliwice (2011)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="00053F17">
        <w:rPr>
          <w:rFonts w:ascii="Arial" w:hAnsi="Arial" w:cs="Arial"/>
          <w:sz w:val="22"/>
        </w:rPr>
        <w:t xml:space="preserve"> – </w:t>
      </w:r>
      <w:r w:rsidR="00053F17" w:rsidRPr="00053F17">
        <w:rPr>
          <w:rFonts w:ascii="Arial" w:hAnsi="Arial" w:cs="Arial"/>
          <w:b/>
          <w:sz w:val="22"/>
        </w:rPr>
        <w:t>studia stacjonarne</w:t>
      </w:r>
      <w:r w:rsidR="00053F17">
        <w:rPr>
          <w:rFonts w:ascii="Arial" w:hAnsi="Arial" w:cs="Arial"/>
          <w:sz w:val="22"/>
        </w:rPr>
        <w:t>: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62551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ćwiczenia, laboratorium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itd.</w:t>
            </w:r>
          </w:p>
        </w:tc>
        <w:tc>
          <w:tcPr>
            <w:tcW w:w="1066" w:type="dxa"/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04268"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30426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053F17" w:rsidRDefault="00053F17" w:rsidP="00053F1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53F17" w:rsidTr="00B92A9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53F17" w:rsidTr="00B92A9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r w:rsidRPr="0066003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bookmarkEnd w:id="0"/>
          </w:p>
        </w:tc>
      </w:tr>
      <w:tr w:rsidR="00053F17" w:rsidTr="00B92A9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</w:t>
            </w:r>
          </w:p>
        </w:tc>
      </w:tr>
      <w:tr w:rsidR="00053F17" w:rsidTr="00B92A9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53F17" w:rsidTr="00B92A9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53F17" w:rsidTr="00B92A9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053F17" w:rsidTr="00B92A9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3F17" w:rsidRDefault="00304268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53F17" w:rsidRDefault="00053F17" w:rsidP="00053F17">
      <w:pPr>
        <w:pStyle w:val="Tekstdymka1"/>
        <w:rPr>
          <w:rFonts w:ascii="Arial" w:hAnsi="Arial" w:cs="Arial"/>
          <w:sz w:val="22"/>
        </w:rPr>
      </w:pPr>
    </w:p>
    <w:p w:rsidR="00053F17" w:rsidRDefault="00053F17">
      <w:pPr>
        <w:pStyle w:val="Tekstdymka1"/>
        <w:rPr>
          <w:rFonts w:ascii="Arial" w:hAnsi="Arial" w:cs="Arial"/>
          <w:sz w:val="22"/>
        </w:rPr>
      </w:pPr>
    </w:p>
    <w:sectPr w:rsidR="00053F17" w:rsidSect="00E262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BC9" w:rsidRDefault="00D13BC9">
      <w:r>
        <w:separator/>
      </w:r>
    </w:p>
  </w:endnote>
  <w:endnote w:type="continuationSeparator" w:id="0">
    <w:p w:rsidR="00D13BC9" w:rsidRDefault="00D13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0030">
      <w:rPr>
        <w:noProof/>
      </w:rPr>
      <w:t>4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BC9" w:rsidRDefault="00D13BC9">
      <w:r>
        <w:separator/>
      </w:r>
    </w:p>
  </w:footnote>
  <w:footnote w:type="continuationSeparator" w:id="0">
    <w:p w:rsidR="00D13BC9" w:rsidRDefault="00D13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A05304" w:rsidRDefault="00E9750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>Załącznik nr 5 do zarządzenia Prorektora ds. Kształcenia i Rozwoju nr RKR.Z.0211</w:t>
    </w:r>
    <w:r w:rsidRPr="00462B2D">
      <w:rPr>
        <w:rFonts w:ascii="Times New Roman" w:hAnsi="Times New Roman"/>
        <w:sz w:val="20"/>
        <w:szCs w:val="20"/>
        <w:u w:val="single"/>
      </w:rPr>
      <w:t>.</w:t>
    </w:r>
    <w:r w:rsidR="00462B2D" w:rsidRPr="00462B2D">
      <w:rPr>
        <w:rFonts w:ascii="Times New Roman" w:hAnsi="Times New Roman"/>
        <w:sz w:val="20"/>
        <w:szCs w:val="20"/>
        <w:u w:val="single"/>
      </w:rPr>
      <w:t>11</w:t>
    </w:r>
    <w:r w:rsidRPr="00462B2D">
      <w:rPr>
        <w:rFonts w:ascii="Times New Roman" w:hAnsi="Times New Roman"/>
        <w:sz w:val="20"/>
        <w:szCs w:val="20"/>
        <w:u w:val="single"/>
      </w:rPr>
      <w:t>.</w:t>
    </w:r>
    <w:r>
      <w:rPr>
        <w:rFonts w:ascii="Times New Roman" w:hAnsi="Times New Roman"/>
        <w:sz w:val="20"/>
        <w:szCs w:val="20"/>
        <w:u w:val="singl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07DC"/>
    <w:rsid w:val="00027707"/>
    <w:rsid w:val="00053F17"/>
    <w:rsid w:val="000D13C0"/>
    <w:rsid w:val="000E16AB"/>
    <w:rsid w:val="00100620"/>
    <w:rsid w:val="001D416C"/>
    <w:rsid w:val="001E7545"/>
    <w:rsid w:val="00257A2E"/>
    <w:rsid w:val="002928E3"/>
    <w:rsid w:val="00293D67"/>
    <w:rsid w:val="002A2E66"/>
    <w:rsid w:val="00303F50"/>
    <w:rsid w:val="00304268"/>
    <w:rsid w:val="00334F8F"/>
    <w:rsid w:val="003A49DD"/>
    <w:rsid w:val="00434CDD"/>
    <w:rsid w:val="0044050E"/>
    <w:rsid w:val="00462B2D"/>
    <w:rsid w:val="00533C41"/>
    <w:rsid w:val="00542591"/>
    <w:rsid w:val="00606DAD"/>
    <w:rsid w:val="0062551C"/>
    <w:rsid w:val="00660030"/>
    <w:rsid w:val="00663A88"/>
    <w:rsid w:val="00700CD5"/>
    <w:rsid w:val="00716872"/>
    <w:rsid w:val="007813FA"/>
    <w:rsid w:val="00817550"/>
    <w:rsid w:val="00827D3B"/>
    <w:rsid w:val="00847145"/>
    <w:rsid w:val="008B703C"/>
    <w:rsid w:val="008D57C7"/>
    <w:rsid w:val="009026FF"/>
    <w:rsid w:val="00957EF5"/>
    <w:rsid w:val="00984C8D"/>
    <w:rsid w:val="009F04D7"/>
    <w:rsid w:val="00A05304"/>
    <w:rsid w:val="00A35A93"/>
    <w:rsid w:val="00A37EDD"/>
    <w:rsid w:val="00A8544F"/>
    <w:rsid w:val="00B92A9B"/>
    <w:rsid w:val="00BA0CC1"/>
    <w:rsid w:val="00BB1BDB"/>
    <w:rsid w:val="00BC5DE5"/>
    <w:rsid w:val="00C372F4"/>
    <w:rsid w:val="00C406F2"/>
    <w:rsid w:val="00D13BC9"/>
    <w:rsid w:val="00D32FBE"/>
    <w:rsid w:val="00D3350E"/>
    <w:rsid w:val="00D37041"/>
    <w:rsid w:val="00D6316C"/>
    <w:rsid w:val="00DB3679"/>
    <w:rsid w:val="00DE2A4C"/>
    <w:rsid w:val="00DE6496"/>
    <w:rsid w:val="00E1778B"/>
    <w:rsid w:val="00E26253"/>
    <w:rsid w:val="00E97509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7B8CE-F692-45DC-8559-CACB2097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5_tt0 xmlns="134e38e6-9933-48b9-beec-5a592e0ac6e4" xsi:nil="true"/>
    <Opis xmlns="134e38e6-9933-48b9-beec-5a592e0ac6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FB5FC-358F-443B-97DF-B1C6B3CB9BFD}">
  <ds:schemaRefs>
    <ds:schemaRef ds:uri="http://schemas.microsoft.com/office/2006/metadata/properties"/>
    <ds:schemaRef ds:uri="http://schemas.microsoft.com/office/infopath/2007/PartnerControls"/>
    <ds:schemaRef ds:uri="134e38e6-9933-48b9-beec-5a592e0ac6e4"/>
  </ds:schemaRefs>
</ds:datastoreItem>
</file>

<file path=customXml/itemProps2.xml><?xml version="1.0" encoding="utf-8"?>
<ds:datastoreItem xmlns:ds="http://schemas.openxmlformats.org/officeDocument/2006/customXml" ds:itemID="{E8595F1E-D7CA-4948-A070-DEA60D6E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CAB466-0DD8-4341-B35B-9A8C836C1B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713E5-03E7-4285-B8F7-F7187E78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1047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Kamila</cp:lastModifiedBy>
  <cp:revision>9</cp:revision>
  <cp:lastPrinted>2012-01-27T07:28:00Z</cp:lastPrinted>
  <dcterms:created xsi:type="dcterms:W3CDTF">2025-03-25T23:07:00Z</dcterms:created>
  <dcterms:modified xsi:type="dcterms:W3CDTF">2025-05-11T14:25:00Z</dcterms:modified>
</cp:coreProperties>
</file>